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естественно-научного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Естественно-научный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дополнительные курсы преимущественно из предметных областей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естественно-научного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соответствующей профилю обучения предметной области «Естественно-научные предметы»: биологии и химии.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преподавание и изучение предмета «Второй иностранный язык (французский)» в рамках обязательной предметной области «Иностранные языки»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заявлений родителей (законных представителей) несовершеннолетних обучающихся</w:t>
      </w:r>
      <w:r>
        <w:rPr>
          <w:rFonts w:hAnsi="Times New Roman" w:cs="Times New Roman"/>
          <w:color w:val="000000"/>
          <w:sz w:val="24"/>
          <w:szCs w:val="24"/>
        </w:rPr>
        <w:t>. Учебный предмет представлен в объеме 1 часа 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 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генетики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ЕСТЕСТВЕННО-НАУЧНОГО ПРОФИЛЯ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 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генетики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c387a859b5046a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